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4A2" w:rsidRDefault="001004CE">
      <w:pPr>
        <w:jc w:val="center"/>
        <w:rPr>
          <w:rFonts w:ascii="Arial" w:eastAsia="Arial" w:hAnsi="Arial" w:cs="Arial"/>
        </w:rPr>
      </w:pPr>
      <w:bookmarkStart w:id="0" w:name="_heading=h.qq6z3853ys0n" w:colFirst="0" w:colLast="0"/>
      <w:bookmarkEnd w:id="0"/>
      <w:r>
        <w:rPr>
          <w:smallCaps/>
          <w:noProof/>
          <w:color w:val="8D7D74"/>
          <w:lang w:val="fr-FR"/>
        </w:rPr>
        <w:drawing>
          <wp:inline distT="114300" distB="114300" distL="114300" distR="114300">
            <wp:extent cx="3876992" cy="1074646"/>
            <wp:effectExtent l="0" t="0" r="0" b="0"/>
            <wp:docPr id="1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6992" cy="107464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874A2" w:rsidRDefault="008874A2">
      <w:pPr>
        <w:jc w:val="center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e"/>
        <w:tblW w:w="11205" w:type="dxa"/>
        <w:tblInd w:w="-1143" w:type="dxa"/>
        <w:tblLayout w:type="fixed"/>
        <w:tblLook w:val="0000" w:firstRow="0" w:lastRow="0" w:firstColumn="0" w:lastColumn="0" w:noHBand="0" w:noVBand="0"/>
      </w:tblPr>
      <w:tblGrid>
        <w:gridCol w:w="11205"/>
      </w:tblGrid>
      <w:tr w:rsidR="008874A2">
        <w:trPr>
          <w:trHeight w:val="276"/>
        </w:trPr>
        <w:tc>
          <w:tcPr>
            <w:tcW w:w="11205" w:type="dxa"/>
          </w:tcPr>
          <w:p w:rsidR="008874A2" w:rsidRDefault="008874A2">
            <w:pPr>
              <w:jc w:val="center"/>
              <w:rPr>
                <w:rFonts w:ascii="Arial" w:eastAsia="Arial" w:hAnsi="Arial" w:cs="Arial"/>
                <w:sz w:val="40"/>
                <w:szCs w:val="40"/>
              </w:rPr>
            </w:pPr>
          </w:p>
          <w:p w:rsidR="008874A2" w:rsidRDefault="001004CE">
            <w:pPr>
              <w:jc w:val="center"/>
              <w:rPr>
                <w:rFonts w:ascii="Arial" w:eastAsia="Arial" w:hAnsi="Arial" w:cs="Arial"/>
                <w:b/>
                <w:color w:val="0000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FF"/>
                <w:sz w:val="40"/>
                <w:szCs w:val="40"/>
              </w:rPr>
              <w:t>Cadre de la note méthodologique</w:t>
            </w:r>
          </w:p>
          <w:p w:rsidR="008874A2" w:rsidRDefault="008874A2">
            <w:pPr>
              <w:jc w:val="center"/>
              <w:rPr>
                <w:rFonts w:ascii="Arial" w:eastAsia="Arial" w:hAnsi="Arial" w:cs="Arial"/>
                <w:sz w:val="40"/>
                <w:szCs w:val="40"/>
              </w:rPr>
            </w:pPr>
          </w:p>
          <w:p w:rsidR="008874A2" w:rsidRDefault="001004CE">
            <w:pPr>
              <w:widowControl/>
              <w:shd w:val="clear" w:color="auto" w:fill="003399"/>
              <w:spacing w:before="240" w:after="240" w:line="276" w:lineRule="auto"/>
              <w:ind w:right="-362"/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 xml:space="preserve">PRESTATIONS DE NUMÉRISATION DE VIDEOS APPARTENANT A LA DIRECTION DES BIBLIOTHÈQUES 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UNIVERSITAIRES  DE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 xml:space="preserve"> L'UNIVERSITÉ SORBONNE NOUVELLE</w:t>
            </w:r>
          </w:p>
          <w:p w:rsidR="008874A2" w:rsidRDefault="008874A2">
            <w:pPr>
              <w:jc w:val="center"/>
              <w:rPr>
                <w:rFonts w:ascii="Arial" w:eastAsia="Arial" w:hAnsi="Arial" w:cs="Arial"/>
                <w:sz w:val="40"/>
                <w:szCs w:val="40"/>
              </w:rPr>
            </w:pPr>
          </w:p>
        </w:tc>
      </w:tr>
    </w:tbl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left="2124"/>
        <w:rPr>
          <w:rFonts w:ascii="Arial" w:eastAsia="Arial" w:hAnsi="Arial" w:cs="Arial"/>
          <w:i/>
          <w:color w:val="0000FF"/>
        </w:rPr>
      </w:pPr>
      <w:r>
        <w:rPr>
          <w:rFonts w:ascii="Arial" w:eastAsia="Arial" w:hAnsi="Arial" w:cs="Arial"/>
          <w:i/>
          <w:color w:val="0000FF"/>
        </w:rPr>
        <w:t xml:space="preserve">Référence de la consultation : </w:t>
      </w:r>
      <w:r>
        <w:rPr>
          <w:rFonts w:ascii="Arial" w:eastAsia="Arial" w:hAnsi="Arial" w:cs="Arial"/>
          <w:color w:val="0000FF"/>
        </w:rPr>
        <w:t>USN-NUMVIDEOS / 2025-029</w:t>
      </w:r>
    </w:p>
    <w:p w:rsidR="008874A2" w:rsidRDefault="008874A2">
      <w:pPr>
        <w:spacing w:before="57"/>
        <w:jc w:val="both"/>
        <w:rPr>
          <w:rFonts w:ascii="Arial" w:eastAsia="Arial" w:hAnsi="Arial" w:cs="Arial"/>
        </w:rPr>
      </w:pPr>
    </w:p>
    <w:p w:rsidR="008874A2" w:rsidRDefault="008874A2">
      <w:pPr>
        <w:spacing w:before="57"/>
        <w:jc w:val="both"/>
        <w:rPr>
          <w:rFonts w:ascii="Arial" w:eastAsia="Arial" w:hAnsi="Arial" w:cs="Arial"/>
        </w:rPr>
      </w:pPr>
    </w:p>
    <w:p w:rsidR="008874A2" w:rsidRDefault="008874A2">
      <w:pPr>
        <w:spacing w:before="57"/>
        <w:jc w:val="both"/>
        <w:rPr>
          <w:rFonts w:ascii="Arial" w:eastAsia="Arial" w:hAnsi="Arial" w:cs="Arial"/>
        </w:rPr>
      </w:pPr>
    </w:p>
    <w:p w:rsidR="008874A2" w:rsidRDefault="001004CE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 présent accord-cadre est passé selon une procédure adaptée en application aux R.2123-</w:t>
      </w:r>
      <w:proofErr w:type="gramStart"/>
      <w:r>
        <w:rPr>
          <w:rFonts w:ascii="Arial" w:eastAsia="Arial" w:hAnsi="Arial" w:cs="Arial"/>
          <w:sz w:val="22"/>
          <w:szCs w:val="22"/>
        </w:rPr>
        <w:t>1,R.</w:t>
      </w:r>
      <w:proofErr w:type="gramEnd"/>
      <w:r>
        <w:rPr>
          <w:rFonts w:ascii="Arial" w:eastAsia="Arial" w:hAnsi="Arial" w:cs="Arial"/>
          <w:sz w:val="22"/>
          <w:szCs w:val="22"/>
        </w:rPr>
        <w:t>2162-3 à 5 et R.2162-13 à 14 du code de la commande publique.</w:t>
      </w:r>
    </w:p>
    <w:p w:rsidR="008874A2" w:rsidRDefault="008874A2">
      <w:pPr>
        <w:jc w:val="center"/>
        <w:rPr>
          <w:rFonts w:ascii="Arial" w:eastAsia="Arial" w:hAnsi="Arial" w:cs="Arial"/>
        </w:rPr>
      </w:pPr>
    </w:p>
    <w:tbl>
      <w:tblPr>
        <w:tblStyle w:val="af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8"/>
        <w:gridCol w:w="6002"/>
      </w:tblGrid>
      <w:tr w:rsidR="008874A2">
        <w:trPr>
          <w:trHeight w:val="653"/>
        </w:trPr>
        <w:tc>
          <w:tcPr>
            <w:tcW w:w="3058" w:type="dxa"/>
            <w:vAlign w:val="center"/>
          </w:tcPr>
          <w:p w:rsidR="008874A2" w:rsidRDefault="001004CE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 DE L’ENTREPRISE</w:t>
            </w:r>
          </w:p>
        </w:tc>
        <w:tc>
          <w:tcPr>
            <w:tcW w:w="6002" w:type="dxa"/>
            <w:vAlign w:val="center"/>
          </w:tcPr>
          <w:p w:rsidR="008874A2" w:rsidRDefault="008874A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8874A2" w:rsidRDefault="008874A2">
      <w:pPr>
        <w:jc w:val="center"/>
        <w:rPr>
          <w:rFonts w:ascii="Arial" w:eastAsia="Arial" w:hAnsi="Arial" w:cs="Arial"/>
        </w:rPr>
      </w:pPr>
    </w:p>
    <w:p w:rsidR="008874A2" w:rsidRDefault="008874A2">
      <w:pPr>
        <w:jc w:val="center"/>
        <w:rPr>
          <w:rFonts w:ascii="Arial" w:eastAsia="Arial" w:hAnsi="Arial" w:cs="Arial"/>
          <w:b/>
        </w:rPr>
      </w:pPr>
    </w:p>
    <w:p w:rsidR="008874A2" w:rsidRDefault="008874A2">
      <w:pPr>
        <w:jc w:val="center"/>
        <w:rPr>
          <w:rFonts w:ascii="Arial" w:eastAsia="Arial" w:hAnsi="Arial" w:cs="Arial"/>
          <w:b/>
        </w:rPr>
      </w:pPr>
    </w:p>
    <w:p w:rsidR="008874A2" w:rsidRDefault="001004CE">
      <w:pPr>
        <w:spacing w:after="160" w:line="259" w:lineRule="auto"/>
        <w:rPr>
          <w:rFonts w:ascii="Arial" w:eastAsia="Arial" w:hAnsi="Arial" w:cs="Arial"/>
          <w:b/>
        </w:rPr>
      </w:pPr>
      <w:r>
        <w:br w:type="page"/>
      </w:r>
    </w:p>
    <w:p w:rsidR="008874A2" w:rsidRDefault="008874A2">
      <w:pPr>
        <w:rPr>
          <w:rFonts w:ascii="Arial" w:eastAsia="Arial" w:hAnsi="Arial" w:cs="Arial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La présente note méthodologique a pour objet de juger la valeur technique de l’offre d</w:t>
      </w:r>
      <w:r>
        <w:rPr>
          <w:rFonts w:ascii="Arial" w:eastAsia="Arial" w:hAnsi="Arial" w:cs="Arial"/>
          <w:sz w:val="22"/>
          <w:szCs w:val="22"/>
        </w:rPr>
        <w:t>u candidat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Il est complémentaire du mémoire technique. Le candidat doit indiquer, par item, les dispositions qu'il compte adopter en complément des conditions figurant au </w:t>
      </w:r>
      <w:r>
        <w:rPr>
          <w:rFonts w:ascii="Arial" w:eastAsia="Arial" w:hAnsi="Arial" w:cs="Arial"/>
          <w:sz w:val="22"/>
          <w:szCs w:val="22"/>
        </w:rPr>
        <w:t>CCP.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Les renseignements indiqués dans le mémoire technique doivent être liés </w:t>
      </w:r>
      <w:r>
        <w:rPr>
          <w:rFonts w:ascii="Arial" w:eastAsia="Arial" w:hAnsi="Arial" w:cs="Arial"/>
          <w:sz w:val="22"/>
          <w:szCs w:val="22"/>
        </w:rPr>
        <w:t>directement à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chacun des lots</w:t>
      </w:r>
      <w:r>
        <w:rPr>
          <w:rFonts w:ascii="Arial" w:eastAsia="Arial" w:hAnsi="Arial" w:cs="Arial"/>
          <w:sz w:val="22"/>
          <w:szCs w:val="22"/>
        </w:rPr>
        <w:t xml:space="preserve"> de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l’accord-cadre, et ne doivent pas être une simple énumération des moyens généraux de l’entreprise.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color w:val="FF0000"/>
          <w:sz w:val="22"/>
          <w:szCs w:val="22"/>
        </w:rPr>
        <w:t>Un mémoire technique doit obligatoirement être transmis par le candidat en plus du présent cadre de la note méthodologique complété sous peine d’irrégularité de l’offre.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b/>
          <w:smallCaps/>
          <w:color w:val="FF0000"/>
          <w:sz w:val="22"/>
          <w:szCs w:val="22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Les différents éléments demandés sont à renseigner sur le présent document en le complétant par des documents annexes quand ils sont exigés. 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L’utilisation de ce cadre est obligatoire.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Si le candidat le souhaite, des documents complémentaires peuvent être joints (en rapport direct avec l’objet de l’accord-cadre).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Il est de plus rappelé que la présente note </w:t>
      </w:r>
      <w:r>
        <w:rPr>
          <w:rFonts w:ascii="Arial" w:eastAsia="Arial" w:hAnsi="Arial" w:cs="Arial"/>
          <w:sz w:val="22"/>
          <w:szCs w:val="22"/>
        </w:rPr>
        <w:t>méthodologique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est une pièce contractuelle de l’accord-cadre ; à ce titre, les informations et dispositions renseignées dans le présent document engagent contractuellement le titulaire quant au respect des moyens mis en œuvre pour l’exécution de ses prestations.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8874A2" w:rsidRDefault="001004CE">
      <w:pPr>
        <w:spacing w:after="160" w:line="259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br w:type="page"/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  <w:sz w:val="22"/>
          <w:szCs w:val="22"/>
        </w:rPr>
      </w:pPr>
    </w:p>
    <w:p w:rsidR="0075259E" w:rsidRPr="0075259E" w:rsidRDefault="0075259E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b/>
          <w:color w:val="000000"/>
          <w:szCs w:val="22"/>
        </w:rPr>
      </w:pPr>
      <w:r w:rsidRPr="0075259E">
        <w:rPr>
          <w:rFonts w:ascii="Arial" w:eastAsia="Arial" w:hAnsi="Arial" w:cs="Arial"/>
          <w:b/>
          <w:color w:val="000000"/>
          <w:szCs w:val="22"/>
        </w:rPr>
        <w:t>CRITERE 1 – VALEUR TECHNIQUE (60%)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708"/>
        <w:jc w:val="both"/>
        <w:rPr>
          <w:rFonts w:ascii="Arial" w:eastAsia="Arial" w:hAnsi="Arial" w:cs="Arial"/>
          <w:sz w:val="22"/>
          <w:szCs w:val="22"/>
        </w:rPr>
      </w:pPr>
    </w:p>
    <w:p w:rsidR="008874A2" w:rsidRDefault="001004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 xml:space="preserve">Sous-critère 1 : Gestion physique des trains et des documents </w:t>
      </w:r>
      <w:r>
        <w:rPr>
          <w:rFonts w:ascii="Arial" w:eastAsia="Arial" w:hAnsi="Arial" w:cs="Arial"/>
          <w:b/>
          <w:color w:val="000000"/>
        </w:rPr>
        <w:t>(</w:t>
      </w:r>
      <w:r>
        <w:rPr>
          <w:rFonts w:ascii="Arial" w:eastAsia="Arial" w:hAnsi="Arial" w:cs="Arial"/>
          <w:b/>
        </w:rPr>
        <w:t>15 points</w:t>
      </w:r>
      <w:r>
        <w:rPr>
          <w:rFonts w:ascii="Arial" w:eastAsia="Arial" w:hAnsi="Arial" w:cs="Arial"/>
          <w:b/>
          <w:color w:val="000000"/>
        </w:rPr>
        <w:t xml:space="preserve">) 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Arial" w:eastAsia="Arial" w:hAnsi="Arial" w:cs="Arial"/>
          <w:sz w:val="20"/>
          <w:szCs w:val="20"/>
        </w:rPr>
      </w:pPr>
      <w:bookmarkStart w:id="2" w:name="_GoBack"/>
      <w:bookmarkEnd w:id="2"/>
    </w:p>
    <w:tbl>
      <w:tblPr>
        <w:tblStyle w:val="af0"/>
        <w:tblW w:w="8883" w:type="dxa"/>
        <w:tblInd w:w="2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3"/>
        <w:gridCol w:w="3945"/>
        <w:gridCol w:w="1665"/>
      </w:tblGrid>
      <w:tr w:rsidR="008874A2"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réponse du candidat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Page(s) du mémoire technique</w:t>
            </w:r>
          </w:p>
        </w:tc>
      </w:tr>
      <w:tr w:rsidR="008874A2"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de nettoyage des films  (ultrasons ou autres procédés).</w:t>
            </w: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matériel pour la lecture des documents</w:t>
            </w: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Matériel de télécinéma (et, le cas échéant, système d'étalonnage)</w:t>
            </w: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Matériel de scanner (et, le cas échéant, système d’étalonnage)</w:t>
            </w: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matériel de restauration</w:t>
            </w: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Conditions de transport, de stockage et méthode de traitement des documents</w:t>
            </w:r>
          </w:p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887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Arial" w:eastAsia="Arial" w:hAnsi="Arial" w:cs="Arial"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:rsidR="008874A2" w:rsidRDefault="001004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>Sous-critère 2 : Prestations demandées et traitements informatiques</w:t>
      </w:r>
      <w:r>
        <w:rPr>
          <w:rFonts w:ascii="Arial" w:eastAsia="Arial" w:hAnsi="Arial" w:cs="Arial"/>
          <w:b/>
          <w:color w:val="000000"/>
        </w:rPr>
        <w:t xml:space="preserve"> (3</w:t>
      </w:r>
      <w:r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</w:rPr>
        <w:t>points</w:t>
      </w:r>
      <w:r>
        <w:rPr>
          <w:rFonts w:ascii="Arial" w:eastAsia="Arial" w:hAnsi="Arial" w:cs="Arial"/>
          <w:b/>
          <w:color w:val="000000"/>
        </w:rPr>
        <w:t>)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1428"/>
        <w:jc w:val="both"/>
        <w:rPr>
          <w:rFonts w:ascii="Arial" w:eastAsia="Arial" w:hAnsi="Arial" w:cs="Arial"/>
          <w:sz w:val="20"/>
          <w:szCs w:val="20"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1428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f1"/>
        <w:tblW w:w="8895" w:type="dxa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85"/>
        <w:gridCol w:w="3855"/>
        <w:gridCol w:w="1755"/>
      </w:tblGrid>
      <w:tr w:rsidR="008874A2">
        <w:tc>
          <w:tcPr>
            <w:tcW w:w="3285" w:type="dxa"/>
          </w:tcPr>
          <w:p w:rsidR="008874A2" w:rsidRDefault="008874A2">
            <w:pP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5" w:type="dxa"/>
          </w:tcPr>
          <w:p w:rsidR="008874A2" w:rsidRDefault="001004C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réponse du candidat</w:t>
            </w: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Page(s) du mémoire technique</w:t>
            </w:r>
          </w:p>
        </w:tc>
      </w:tr>
      <w:tr w:rsidR="008874A2"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Méthode, matériel et logiciels de traitement du son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Méthode, matériel et logiciels de traitement des couleurs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logiciels de création de métadonnées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de création des fichiers de diffusion et de conservation, caractéristiques des fichiers obtenus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</w:tcPr>
          <w:p w:rsidR="008874A2" w:rsidRDefault="001004CE">
            <w:pPr>
              <w:widowControl/>
              <w:spacing w:line="259" w:lineRule="auto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white"/>
              </w:rPr>
              <w:lastRenderedPageBreak/>
              <w:t>Capacité à fournir des fichiers de diffusion en HLS et MPEG-DASH, intégrables dans une visionneuse compatible IIIF (type Universal Viewer ou Mirador, ou autre proposition du candidat) ;</w:t>
            </w:r>
          </w:p>
          <w:p w:rsidR="008874A2" w:rsidRDefault="008874A2">
            <w:pPr>
              <w:widowControl/>
              <w:spacing w:line="259" w:lineRule="auto"/>
              <w:rPr>
                <w:rFonts w:ascii="Arial" w:eastAsia="Arial" w:hAnsi="Arial" w:cs="Arial"/>
                <w:sz w:val="20"/>
                <w:szCs w:val="20"/>
                <w:highlight w:val="white"/>
              </w:rPr>
            </w:pPr>
          </w:p>
          <w:p w:rsidR="008874A2" w:rsidRDefault="001004CE">
            <w:pPr>
              <w:widowControl/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white"/>
              </w:rPr>
              <w:t xml:space="preserve">Possibilité d’intégrer la structuration temporelle des vidéos dans un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  <w:highlight w:val="white"/>
              </w:rPr>
              <w:t>manifest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  <w:highlight w:val="white"/>
              </w:rPr>
              <w:t xml:space="preserve"> IIIF 3.0.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logiciels utilisés pour le sous-titrage des films numérisés en français et en anglais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Critères d’accessibilité du sous-titrage réalisé (notamment choix et taille de la police)</w:t>
            </w:r>
          </w:p>
        </w:tc>
        <w:tc>
          <w:tcPr>
            <w:tcW w:w="38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874A2" w:rsidRDefault="008874A2">
      <w:pPr>
        <w:jc w:val="both"/>
        <w:rPr>
          <w:rFonts w:ascii="Arial" w:eastAsia="Arial" w:hAnsi="Arial" w:cs="Arial"/>
          <w:sz w:val="20"/>
          <w:szCs w:val="20"/>
        </w:rPr>
      </w:pPr>
    </w:p>
    <w:p w:rsidR="008874A2" w:rsidRDefault="001004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56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Sous-critère 3 : Encadrement et suivi des prestations - Schéma général de la chaîne de numérisation (10 points)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ind w:left="1428"/>
        <w:jc w:val="both"/>
        <w:rPr>
          <w:rFonts w:ascii="Arial" w:eastAsia="Arial" w:hAnsi="Arial" w:cs="Arial"/>
          <w:b/>
        </w:rPr>
      </w:pPr>
    </w:p>
    <w:p w:rsidR="008874A2" w:rsidRDefault="008874A2">
      <w:pPr>
        <w:ind w:left="1428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f2"/>
        <w:tblW w:w="8895" w:type="dxa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85"/>
        <w:gridCol w:w="3885"/>
        <w:gridCol w:w="1725"/>
      </w:tblGrid>
      <w:tr w:rsidR="008874A2">
        <w:tc>
          <w:tcPr>
            <w:tcW w:w="3285" w:type="dxa"/>
          </w:tcPr>
          <w:p w:rsidR="008874A2" w:rsidRDefault="008874A2">
            <w:pP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85" w:type="dxa"/>
          </w:tcPr>
          <w:p w:rsidR="008874A2" w:rsidRDefault="001004C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réponse du candidat</w:t>
            </w:r>
          </w:p>
        </w:tc>
        <w:tc>
          <w:tcPr>
            <w:tcW w:w="1725" w:type="dxa"/>
          </w:tcPr>
          <w:p w:rsidR="008874A2" w:rsidRDefault="001004C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Page(s) du mémoire technique</w:t>
            </w:r>
          </w:p>
        </w:tc>
      </w:tr>
      <w:tr w:rsidR="008874A2">
        <w:tc>
          <w:tcPr>
            <w:tcW w:w="3285" w:type="dxa"/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Temps de numérisation d’un lot-type de 25 titres pour 10h de programme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Désignation d’un référent dans les équipes du titulaire et qualités du titulaire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Phasage d’un train de numérisation : engagements du titulaire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Procédure en cas de documents trop abîmés pour être numérisés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Procédure pour le contrôle de production effectué par le prestataire et pour la reprise des anomalies de numérisation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supports physiques utilisés pour la livraison des numérisations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Méthode et logiciels utilisés pour la mise-à-jour du tableau de récolement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Estimation du temps nécessaire au sous-titrage d’un lot de films numérisés (pour 10 titres et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environ 4 heures de programmes)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74A2">
        <w:trPr>
          <w:trHeight w:val="889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74A2" w:rsidRDefault="001004C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Livraison des fichiers numériques sur disque dur externe et délais de production</w:t>
            </w:r>
          </w:p>
        </w:tc>
        <w:tc>
          <w:tcPr>
            <w:tcW w:w="388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:rsidR="008874A2" w:rsidRDefault="008874A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874A2" w:rsidRDefault="008874A2">
      <w:pPr>
        <w:jc w:val="both"/>
        <w:rPr>
          <w:rFonts w:ascii="Arial" w:eastAsia="Arial" w:hAnsi="Arial" w:cs="Arial"/>
          <w:b/>
        </w:rPr>
      </w:pPr>
    </w:p>
    <w:p w:rsidR="008874A2" w:rsidRDefault="008874A2">
      <w:pPr>
        <w:jc w:val="both"/>
        <w:rPr>
          <w:rFonts w:ascii="Arial" w:eastAsia="Arial" w:hAnsi="Arial" w:cs="Arial"/>
          <w:b/>
        </w:rPr>
      </w:pPr>
    </w:p>
    <w:p w:rsidR="008874A2" w:rsidRDefault="008874A2">
      <w:pPr>
        <w:jc w:val="both"/>
        <w:rPr>
          <w:rFonts w:ascii="Arial" w:eastAsia="Arial" w:hAnsi="Arial" w:cs="Arial"/>
          <w:b/>
        </w:rPr>
      </w:pPr>
    </w:p>
    <w:p w:rsidR="008874A2" w:rsidRDefault="008874A2">
      <w:pPr>
        <w:jc w:val="both"/>
        <w:rPr>
          <w:rFonts w:ascii="Arial" w:eastAsia="Arial" w:hAnsi="Arial" w:cs="Arial"/>
          <w:b/>
        </w:rPr>
      </w:pPr>
    </w:p>
    <w:p w:rsidR="008874A2" w:rsidRDefault="008874A2">
      <w:pPr>
        <w:jc w:val="both"/>
        <w:rPr>
          <w:rFonts w:ascii="Arial" w:eastAsia="Arial" w:hAnsi="Arial" w:cs="Arial"/>
          <w:b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  <w:sz w:val="20"/>
          <w:szCs w:val="20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0"/>
          <w:szCs w:val="20"/>
        </w:rPr>
        <w:t>Fait le _______________________________à_____________________________</w:t>
      </w: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8874A2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</w:rPr>
      </w:pPr>
    </w:p>
    <w:p w:rsidR="008874A2" w:rsidRDefault="001004C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Signature et cachet de l’entreprise :</w:t>
      </w:r>
    </w:p>
    <w:p w:rsidR="008874A2" w:rsidRDefault="008874A2">
      <w:pPr>
        <w:tabs>
          <w:tab w:val="left" w:pos="4820"/>
        </w:tabs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8874A2" w:rsidRDefault="008874A2">
      <w:pPr>
        <w:jc w:val="center"/>
        <w:rPr>
          <w:rFonts w:ascii="Arial" w:eastAsia="Arial" w:hAnsi="Arial" w:cs="Arial"/>
          <w:sz w:val="20"/>
          <w:szCs w:val="20"/>
        </w:rPr>
      </w:pPr>
    </w:p>
    <w:sectPr w:rsidR="008874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A9" w:rsidRDefault="001004CE">
      <w:r>
        <w:separator/>
      </w:r>
    </w:p>
  </w:endnote>
  <w:endnote w:type="continuationSeparator" w:id="0">
    <w:p w:rsidR="005203A9" w:rsidRDefault="0010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1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1004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1004CE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071"/>
        <w:tab w:val="right" w:pos="14004"/>
      </w:tabs>
      <w:rPr>
        <w:rFonts w:ascii="Arial" w:eastAsia="Arial" w:hAnsi="Arial" w:cs="Arial"/>
        <w:color w:val="000000"/>
        <w:sz w:val="20"/>
        <w:szCs w:val="20"/>
      </w:rPr>
    </w:pPr>
    <w:bookmarkStart w:id="3" w:name="_heading=h.30j0zll" w:colFirst="0" w:colLast="0"/>
    <w:bookmarkEnd w:id="3"/>
    <w:r>
      <w:rPr>
        <w:rFonts w:ascii="Arial" w:eastAsia="Arial" w:hAnsi="Arial" w:cs="Arial"/>
        <w:color w:val="000000"/>
        <w:sz w:val="20"/>
        <w:szCs w:val="20"/>
      </w:rPr>
      <w:t>Mémoire méthodologique n° USN-NUMVIDEOS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5259E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/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5259E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A9" w:rsidRDefault="001004CE">
      <w:r>
        <w:separator/>
      </w:r>
    </w:p>
  </w:footnote>
  <w:footnote w:type="continuationSeparator" w:id="0">
    <w:p w:rsidR="005203A9" w:rsidRDefault="0010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1004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</w:p>
  <w:p w:rsidR="008874A2" w:rsidRDefault="001004CE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>USN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A2" w:rsidRDefault="008874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D58E4"/>
    <w:multiLevelType w:val="multilevel"/>
    <w:tmpl w:val="D72070E2"/>
    <w:lvl w:ilvl="0">
      <w:start w:val="1"/>
      <w:numFmt w:val="bullet"/>
      <w:pStyle w:val="Style1"/>
      <w:lvlText w:val="⮚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A2"/>
    <w:rsid w:val="001004CE"/>
    <w:rsid w:val="005203A9"/>
    <w:rsid w:val="0075259E"/>
    <w:rsid w:val="008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8DAE9"/>
  <w15:docId w15:val="{60EADDD3-5092-4A2F-97C0-4B33BB4C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pPr>
      <w:keepNext/>
      <w:pBdr>
        <w:top w:val="single" w:sz="24" w:space="1" w:color="000000"/>
        <w:left w:val="single" w:sz="24" w:space="4" w:color="000000"/>
        <w:bottom w:val="single" w:sz="24" w:space="1" w:color="000000"/>
        <w:right w:val="single" w:sz="24" w:space="4" w:color="000000"/>
      </w:pBdr>
      <w:jc w:val="center"/>
      <w:outlineLvl w:val="1"/>
    </w:pPr>
    <w:rPr>
      <w:b/>
    </w:rPr>
  </w:style>
  <w:style w:type="paragraph" w:styleId="Titre3">
    <w:name w:val="heading 3"/>
    <w:basedOn w:val="Normal"/>
    <w:next w:val="Normal"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pPr>
      <w:keepNext/>
      <w:ind w:left="360"/>
      <w:outlineLvl w:val="3"/>
    </w:pPr>
    <w:rPr>
      <w:b/>
    </w:rPr>
  </w:style>
  <w:style w:type="paragraph" w:styleId="Titre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Titre6">
    <w:name w:val="heading 6"/>
    <w:basedOn w:val="Normal"/>
    <w:next w:val="Normal"/>
    <w:pPr>
      <w:keepNext/>
      <w:jc w:val="both"/>
      <w:outlineLvl w:val="5"/>
    </w:pPr>
    <w:rPr>
      <w:b/>
      <w:sz w:val="20"/>
      <w:szCs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re">
    <w:name w:val="Title"/>
    <w:basedOn w:val="Normal"/>
    <w:next w:val="Normal"/>
    <w:pPr>
      <w:jc w:val="center"/>
    </w:pPr>
    <w:rPr>
      <w:rFonts w:ascii="CG Times" w:eastAsia="CG Times" w:hAnsi="CG Times" w:cs="CG Times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b/>
      <w:bCs/>
      <w:i/>
      <w:iCs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basedOn w:val="Normal"/>
    <w:uiPriority w:val="99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pPr>
      <w:widowControl w:val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pPr>
      <w:widowControl w:val="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pPr>
      <w:widowControl w:val="0"/>
    </w:pPr>
    <w:tblPr>
      <w:tblStyleRowBandSize w:val="1"/>
      <w:tblStyleColBandSize w:val="1"/>
    </w:tblPr>
  </w:style>
  <w:style w:type="table" w:customStyle="1" w:styleId="af">
    <w:basedOn w:val="TableNormal0"/>
    <w:pPr>
      <w:widowControl w:val="0"/>
    </w:pPr>
    <w:tblPr>
      <w:tblStyleRowBandSize w:val="1"/>
      <w:tblStyleColBandSize w:val="1"/>
    </w:tblPr>
  </w:style>
  <w:style w:type="table" w:customStyle="1" w:styleId="af0">
    <w:basedOn w:val="TableNormal0"/>
    <w:pPr>
      <w:widowControl w:val="0"/>
    </w:pPr>
    <w:tblPr>
      <w:tblStyleRowBandSize w:val="1"/>
      <w:tblStyleColBandSize w:val="1"/>
    </w:tblPr>
  </w:style>
  <w:style w:type="table" w:customStyle="1" w:styleId="af1">
    <w:basedOn w:val="TableNormal0"/>
    <w:pPr>
      <w:widowControl w:val="0"/>
    </w:pPr>
    <w:tblPr>
      <w:tblStyleRowBandSize w:val="1"/>
      <w:tblStyleColBandSize w:val="1"/>
    </w:tblPr>
  </w:style>
  <w:style w:type="table" w:customStyle="1" w:styleId="af2">
    <w:basedOn w:val="TableNormal0"/>
    <w:pPr>
      <w:widowControl w:val="0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xLMKmQZPGJsZ56kmwCq7IZ1qrw==">CgMxLjAyDmgucXE2ejM4NTN5czBuMghoLmdqZGd4czIJaC4zMGowemxsOABqKAoUc3VnZ2VzdC52Z2ZwcXFsZ21la2sSEEVtZWxpbmUgSnVpbGxhcmRqKAoUc3VnZ2VzdC5uNGwxbmE1Y2wxdmISEEVtZWxpbmUgSnVpbGxhcmRqKAoUc3VnZ2VzdC5oYTI0OHltbGtnMGsSEEVtZWxpbmUgSnVpbGxhcmRqKAoUc3VnZ2VzdC5sZnpvMWV3NWRodHcSEEVtZWxpbmUgSnVpbGxhcmRyITFibndUVmgtRkVfRlRxZE9tZEo3bmNtNDNVV0RGMlY0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640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Utilisateur-P3</cp:lastModifiedBy>
  <cp:revision>3</cp:revision>
  <dcterms:created xsi:type="dcterms:W3CDTF">2025-09-23T07:47:00Z</dcterms:created>
  <dcterms:modified xsi:type="dcterms:W3CDTF">2025-09-23T08:24:00Z</dcterms:modified>
</cp:coreProperties>
</file>